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CF" w:rsidRPr="00DE6B2F" w:rsidRDefault="005F6BCF" w:rsidP="005F6BCF">
      <w:pPr>
        <w:spacing w:line="360" w:lineRule="auto"/>
        <w:rPr>
          <w:rFonts w:ascii="TimesNewRomanPS-ItalicMT" w:hAnsi="TimesNewRomanPS-ItalicMT"/>
          <w:b/>
          <w:i/>
          <w:iCs/>
          <w:sz w:val="32"/>
        </w:rPr>
      </w:pPr>
    </w:p>
    <w:p w:rsidR="005F6BCF" w:rsidRDefault="005F6BCF" w:rsidP="005F6BCF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NewRomanPS-BoldMT" w:hAnsi="TimesNewRomanPS-BoldMT"/>
          <w:b/>
          <w:bCs/>
          <w:sz w:val="32"/>
          <w:szCs w:val="28"/>
        </w:rPr>
      </w:pPr>
      <w:r>
        <w:rPr>
          <w:rFonts w:ascii="TimesNewRomanPS-BoldMT" w:hAnsi="TimesNewRomanPS-BoldMT"/>
          <w:b/>
          <w:bCs/>
          <w:sz w:val="32"/>
          <w:szCs w:val="28"/>
        </w:rPr>
        <w:t>Kryteria wyboru operacji</w:t>
      </w:r>
    </w:p>
    <w:p w:rsidR="005F6BCF" w:rsidRDefault="005F6BCF" w:rsidP="005F6BCF">
      <w:pPr>
        <w:spacing w:line="360" w:lineRule="auto"/>
        <w:jc w:val="center"/>
        <w:outlineLvl w:val="0"/>
        <w:rPr>
          <w:rFonts w:ascii="TimesNewRomanPS-BoldMT" w:hAnsi="TimesNewRomanPS-BoldMT"/>
          <w:b/>
          <w:bCs/>
          <w:sz w:val="32"/>
          <w:szCs w:val="28"/>
        </w:rPr>
      </w:pPr>
      <w:r>
        <w:rPr>
          <w:rFonts w:ascii="TimesNewRomanPS-BoldMT" w:hAnsi="TimesNewRomanPS-BoldMT"/>
          <w:b/>
          <w:bCs/>
          <w:sz w:val="32"/>
          <w:szCs w:val="28"/>
        </w:rPr>
        <w:t>w ramach realizacji LSROR</w:t>
      </w:r>
    </w:p>
    <w:p w:rsidR="005F6BCF" w:rsidRDefault="005F6BCF" w:rsidP="005F6BCF">
      <w:pPr>
        <w:spacing w:line="36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6069"/>
        <w:gridCol w:w="709"/>
        <w:gridCol w:w="767"/>
        <w:gridCol w:w="1218"/>
        <w:gridCol w:w="708"/>
      </w:tblGrid>
      <w:tr w:rsidR="005F6BCF" w:rsidTr="00E30C4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35" w:type="dxa"/>
            <w:vMerge w:val="restart"/>
          </w:tcPr>
          <w:p w:rsidR="005F6BCF" w:rsidRDefault="005F6BCF" w:rsidP="00E30C49">
            <w:pPr>
              <w:spacing w:line="360" w:lineRule="auto"/>
              <w:jc w:val="center"/>
            </w:pPr>
          </w:p>
          <w:p w:rsidR="005F6BCF" w:rsidRDefault="005F6BCF" w:rsidP="00E30C49">
            <w:pPr>
              <w:spacing w:line="360" w:lineRule="auto"/>
              <w:jc w:val="center"/>
            </w:pPr>
          </w:p>
          <w:p w:rsidR="005F6BCF" w:rsidRDefault="005F6BCF" w:rsidP="00E30C49">
            <w:pPr>
              <w:spacing w:line="360" w:lineRule="auto"/>
              <w:jc w:val="center"/>
            </w:pPr>
          </w:p>
          <w:p w:rsidR="005F6BCF" w:rsidRDefault="005F6BCF" w:rsidP="00E30C49">
            <w:pPr>
              <w:spacing w:line="360" w:lineRule="auto"/>
              <w:jc w:val="center"/>
            </w:pPr>
          </w:p>
          <w:p w:rsidR="005F6BCF" w:rsidRDefault="005F6BCF" w:rsidP="00E30C49">
            <w:pPr>
              <w:spacing w:line="360" w:lineRule="auto"/>
            </w:pPr>
            <w:r>
              <w:t>Lp.</w:t>
            </w:r>
          </w:p>
        </w:tc>
        <w:tc>
          <w:tcPr>
            <w:tcW w:w="6069" w:type="dxa"/>
            <w:vMerge w:val="restart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Kryterium i punktacja</w:t>
            </w:r>
          </w:p>
          <w:p w:rsidR="005F6BCF" w:rsidRDefault="005F6BCF" w:rsidP="00E30C49">
            <w:pPr>
              <w:spacing w:line="360" w:lineRule="auto"/>
              <w:jc w:val="center"/>
              <w:rPr>
                <w:sz w:val="22"/>
              </w:rPr>
            </w:pPr>
          </w:p>
          <w:p w:rsidR="005F6BCF" w:rsidRDefault="005F6BCF" w:rsidP="00E30C49">
            <w:pPr>
              <w:spacing w:line="360" w:lineRule="auto"/>
              <w:jc w:val="center"/>
              <w:rPr>
                <w:sz w:val="22"/>
              </w:rPr>
            </w:pPr>
          </w:p>
          <w:p w:rsidR="005F6BCF" w:rsidRDefault="005F6BCF" w:rsidP="00E30C4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4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Dotyczy operacji w ramach działań</w:t>
            </w:r>
          </w:p>
          <w:p w:rsidR="005F6BCF" w:rsidRDefault="005F6BCF" w:rsidP="00E30C49">
            <w:pPr>
              <w:spacing w:line="360" w:lineRule="auto"/>
              <w:jc w:val="center"/>
            </w:pPr>
            <w:r>
              <w:rPr>
                <w:rFonts w:ascii="TimesNewRomanPSMT" w:hAnsi="TimesNewRomanPSMT"/>
                <w:sz w:val="22"/>
                <w:szCs w:val="22"/>
              </w:rPr>
              <w:t>PO - RYBY 2007-2013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cantSplit/>
          <w:trHeight w:val="3032"/>
        </w:trPr>
        <w:tc>
          <w:tcPr>
            <w:tcW w:w="735" w:type="dxa"/>
            <w:vMerge/>
          </w:tcPr>
          <w:p w:rsidR="005F6BCF" w:rsidRDefault="005F6BCF" w:rsidP="00E30C49">
            <w:pPr>
              <w:spacing w:line="360" w:lineRule="auto"/>
              <w:jc w:val="center"/>
            </w:pPr>
          </w:p>
        </w:tc>
        <w:tc>
          <w:tcPr>
            <w:tcW w:w="6069" w:type="dxa"/>
            <w:vMerge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5F6BCF" w:rsidRPr="00906922" w:rsidRDefault="005F6BCF" w:rsidP="00E30C4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922">
              <w:rPr>
                <w:sz w:val="22"/>
                <w:szCs w:val="22"/>
              </w:rPr>
              <w:t>Wzmocnienie konkurencyjności</w:t>
            </w:r>
          </w:p>
        </w:tc>
        <w:tc>
          <w:tcPr>
            <w:tcW w:w="767" w:type="dxa"/>
            <w:textDirection w:val="btLr"/>
          </w:tcPr>
          <w:p w:rsidR="005F6BCF" w:rsidRDefault="005F6BCF" w:rsidP="00E30C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Restrukturyzacja i reorientacja działalności gospodarczej</w:t>
            </w:r>
          </w:p>
          <w:p w:rsidR="005F6BCF" w:rsidRDefault="005F6BCF" w:rsidP="00E30C49">
            <w:pPr>
              <w:ind w:left="110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ind w:left="110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</w:tc>
        <w:tc>
          <w:tcPr>
            <w:tcW w:w="1218" w:type="dxa"/>
            <w:textDirection w:val="btLr"/>
          </w:tcPr>
          <w:p w:rsidR="005F6BCF" w:rsidRDefault="005F6BCF" w:rsidP="00E30C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Podnoszenie wartości produktów rybactwa, rozwój usług na rzecz społeczności zamieszkujące  obszary zależne od rybactwa</w:t>
            </w:r>
          </w:p>
        </w:tc>
        <w:tc>
          <w:tcPr>
            <w:tcW w:w="708" w:type="dxa"/>
            <w:textDirection w:val="btLr"/>
            <w:vAlign w:val="bottom"/>
          </w:tcPr>
          <w:p w:rsidR="005F6BCF" w:rsidRDefault="005F6BCF" w:rsidP="00E30C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2"/>
                <w:szCs w:val="22"/>
              </w:rPr>
            </w:pPr>
          </w:p>
          <w:p w:rsidR="005F6BCF" w:rsidRDefault="005F6BCF" w:rsidP="00E30C49">
            <w:pPr>
              <w:ind w:left="113" w:right="113"/>
              <w:jc w:val="center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Ochrona środowiska i dziedzictwa przyrodniczego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Wnioskodawca posiada doświadczenie w realizacji projektów</w:t>
            </w:r>
          </w:p>
          <w:p w:rsidR="005F6BCF" w:rsidRPr="00570EB9" w:rsidRDefault="005F6BCF" w:rsidP="00E30C49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(0 – 6 pkt)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5F6BCF" w:rsidRPr="00570EB9" w:rsidRDefault="005F6BCF" w:rsidP="00E30C49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brak projektów zrealizowanych</w:t>
            </w:r>
            <w:r>
              <w:rPr>
                <w:sz w:val="22"/>
                <w:szCs w:val="22"/>
              </w:rPr>
              <w:t xml:space="preserve"> bądź w trakcie realizacji:    </w:t>
            </w:r>
            <w:r w:rsidRPr="00570EB9"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6 pkt</w:t>
            </w:r>
            <w:r w:rsidRPr="00570EB9">
              <w:rPr>
                <w:sz w:val="22"/>
                <w:szCs w:val="22"/>
              </w:rPr>
              <w:t xml:space="preserve"> 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zrealizowane bądź w trakcie realiz</w:t>
            </w:r>
            <w:r>
              <w:rPr>
                <w:sz w:val="22"/>
                <w:szCs w:val="22"/>
              </w:rPr>
              <w:t xml:space="preserve">acji 1 - 3 projektów:        </w:t>
            </w:r>
            <w:r w:rsidRPr="00714D5F">
              <w:rPr>
                <w:b/>
                <w:sz w:val="22"/>
                <w:szCs w:val="22"/>
              </w:rPr>
              <w:t>4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zrealizowane bądź w trakcie reali</w:t>
            </w:r>
            <w:r>
              <w:rPr>
                <w:sz w:val="22"/>
                <w:szCs w:val="22"/>
              </w:rPr>
              <w:t xml:space="preserve">zacji 4 - 6 projektów:       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5F6BCF" w:rsidRPr="00570EB9" w:rsidRDefault="005F6BCF" w:rsidP="00E30C49">
            <w:pPr>
              <w:spacing w:line="360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zrealizowane bądź w trakcie </w:t>
            </w:r>
            <w:r>
              <w:rPr>
                <w:sz w:val="22"/>
                <w:szCs w:val="22"/>
              </w:rPr>
              <w:t>realizacji powyżej 6 projektów:</w:t>
            </w:r>
            <w:r>
              <w:rPr>
                <w:b/>
                <w:sz w:val="22"/>
                <w:szCs w:val="22"/>
              </w:rPr>
              <w:t>0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709" w:type="dxa"/>
          </w:tcPr>
          <w:p w:rsidR="005F6BCF" w:rsidRDefault="005F6BCF" w:rsidP="00E30C49">
            <w:pPr>
              <w:spacing w:line="360" w:lineRule="auto"/>
              <w:jc w:val="center"/>
            </w:pPr>
          </w:p>
          <w:p w:rsidR="005F6BCF" w:rsidRDefault="005F6BCF" w:rsidP="00E30C49">
            <w:pPr>
              <w:spacing w:line="360" w:lineRule="auto"/>
              <w:jc w:val="center"/>
            </w:pPr>
          </w:p>
          <w:p w:rsidR="005F6BCF" w:rsidRDefault="005F6BCF" w:rsidP="00E30C49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 xml:space="preserve">Wnioskodawca jest członkiem </w:t>
            </w:r>
            <w:r>
              <w:rPr>
                <w:b/>
                <w:bCs/>
                <w:sz w:val="22"/>
                <w:szCs w:val="22"/>
              </w:rPr>
              <w:t>„</w:t>
            </w:r>
            <w:r w:rsidRPr="00570EB9">
              <w:rPr>
                <w:b/>
                <w:bCs/>
                <w:sz w:val="22"/>
                <w:szCs w:val="22"/>
              </w:rPr>
              <w:t>ŁLGR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(0 lub 5 pkt)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jest członkiem: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nie jest członkiem: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 xml:space="preserve">Wnioskodawca posiada środki finansowe na wykonanie operacji     </w:t>
            </w:r>
            <w:r w:rsidRPr="00570EB9">
              <w:rPr>
                <w:sz w:val="22"/>
                <w:szCs w:val="22"/>
              </w:rPr>
              <w:t>(</w:t>
            </w:r>
            <w:r w:rsidRPr="00570EB9">
              <w:rPr>
                <w:b/>
                <w:bCs/>
                <w:sz w:val="22"/>
                <w:szCs w:val="22"/>
              </w:rPr>
              <w:t>0 – 8 pkt)</w:t>
            </w:r>
          </w:p>
          <w:p w:rsidR="005F6BCF" w:rsidRPr="002B075E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075E">
              <w:rPr>
                <w:sz w:val="22"/>
                <w:szCs w:val="22"/>
              </w:rPr>
              <w:t>- promesa bankowa, uchwała budżetowa lub inny</w:t>
            </w:r>
          </w:p>
          <w:p w:rsidR="005F6BCF" w:rsidRPr="002B075E" w:rsidRDefault="005F6BCF" w:rsidP="00E30C4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B075E">
              <w:rPr>
                <w:sz w:val="22"/>
                <w:szCs w:val="22"/>
              </w:rPr>
              <w:t xml:space="preserve">  równoważny dokument:                                                          </w:t>
            </w:r>
            <w:r w:rsidRPr="002B075E">
              <w:rPr>
                <w:b/>
                <w:sz w:val="22"/>
                <w:szCs w:val="22"/>
              </w:rPr>
              <w:t>8 pkt</w:t>
            </w:r>
            <w:r w:rsidRPr="002B075E">
              <w:rPr>
                <w:sz w:val="22"/>
                <w:szCs w:val="22"/>
              </w:rPr>
              <w:t xml:space="preserve"> - brak dokumentów potwierdzających:                                     </w:t>
            </w:r>
            <w:r w:rsidRPr="002B075E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pStyle w:val="Tekstpodstawowy"/>
              <w:spacing w:before="0" w:after="0"/>
              <w:rPr>
                <w:b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 xml:space="preserve">Deklarowany poziom wkładu własnego </w:t>
            </w:r>
            <w:r w:rsidRPr="00570EB9">
              <w:rPr>
                <w:b/>
                <w:bCs/>
                <w:sz w:val="22"/>
                <w:szCs w:val="22"/>
              </w:rPr>
              <w:t>(0 – 10 pkt)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powyżej  25% :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od 20% - do 25% :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poniżej 20%: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1218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pStyle w:val="Tekstpodstawowy"/>
              <w:spacing w:before="0" w:after="0"/>
              <w:rPr>
                <w:b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>Deklarowany poziom wkładu własnego (0 – 10 pkt)</w:t>
            </w:r>
          </w:p>
          <w:p w:rsidR="005F6BCF" w:rsidRPr="00570EB9" w:rsidRDefault="005F6BCF" w:rsidP="00E30C4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powyżej 50%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5F6BCF" w:rsidRPr="00570EB9" w:rsidRDefault="005F6BCF" w:rsidP="00E30C4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od 45% do 50%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5 pkt</w:t>
            </w:r>
            <w:r w:rsidRPr="00570EB9">
              <w:rPr>
                <w:sz w:val="22"/>
                <w:szCs w:val="22"/>
              </w:rPr>
              <w:t xml:space="preserve">        </w:t>
            </w:r>
          </w:p>
          <w:p w:rsidR="005F6BCF" w:rsidRPr="00570EB9" w:rsidRDefault="005F6BCF" w:rsidP="00E30C4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poniżej 45%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  <w:shd w:val="clear" w:color="auto" w:fill="B2A1C7"/>
            <w:vAlign w:val="center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pStyle w:val="Tekstpodstawowy"/>
              <w:spacing w:before="0" w:after="0"/>
              <w:rPr>
                <w:b/>
                <w:sz w:val="22"/>
                <w:szCs w:val="22"/>
              </w:rPr>
            </w:pPr>
            <w:r w:rsidRPr="00570EB9">
              <w:rPr>
                <w:b/>
                <w:sz w:val="22"/>
                <w:szCs w:val="22"/>
              </w:rPr>
              <w:t>Deklarowany poziom wkładu własnego (0 – 10pkt)</w:t>
            </w:r>
          </w:p>
          <w:p w:rsidR="005F6BCF" w:rsidRPr="00570EB9" w:rsidRDefault="005F6BCF" w:rsidP="00E30C4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powyżej 10% 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5F6BCF" w:rsidRPr="00570EB9" w:rsidRDefault="005F6BCF" w:rsidP="00E30C4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od 5% do 10%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5F6BCF" w:rsidRPr="00570EB9" w:rsidRDefault="005F6BCF" w:rsidP="00E30C4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poniżej 5%</w:t>
            </w:r>
            <w:r>
              <w:rPr>
                <w:sz w:val="22"/>
                <w:szCs w:val="22"/>
              </w:rPr>
              <w:t>:</w:t>
            </w:r>
            <w:r w:rsidRPr="00570EB9"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67" w:type="dxa"/>
            <w:shd w:val="clear" w:color="auto" w:fill="B2A1C7"/>
            <w:vAlign w:val="center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1218" w:type="dxa"/>
            <w:shd w:val="clear" w:color="auto" w:fill="B2A1C7"/>
            <w:vAlign w:val="center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Zasięg oddziaływania projektu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0EB9">
              <w:rPr>
                <w:b/>
                <w:bCs/>
                <w:sz w:val="22"/>
                <w:szCs w:val="22"/>
              </w:rPr>
              <w:t>(0 – 10 pkt)</w:t>
            </w:r>
          </w:p>
          <w:p w:rsidR="005F6BCF" w:rsidRPr="00570EB9" w:rsidRDefault="005F6BCF" w:rsidP="00E30C49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-operacja promuje obszar LSROR w skali międzynarodowej </w:t>
            </w:r>
            <w:r>
              <w:rPr>
                <w:b/>
                <w:sz w:val="22"/>
                <w:szCs w:val="22"/>
              </w:rPr>
              <w:t>10</w:t>
            </w:r>
            <w:r w:rsidRPr="000A56A4">
              <w:rPr>
                <w:b/>
                <w:sz w:val="22"/>
                <w:szCs w:val="22"/>
              </w:rPr>
              <w:t>pkt</w:t>
            </w:r>
            <w:r w:rsidRPr="00570EB9">
              <w:rPr>
                <w:sz w:val="22"/>
                <w:szCs w:val="22"/>
              </w:rPr>
              <w:t xml:space="preserve">                                     - operacja promuje obszar LSROR w sk</w:t>
            </w:r>
            <w:r>
              <w:rPr>
                <w:sz w:val="22"/>
                <w:szCs w:val="22"/>
              </w:rPr>
              <w:t xml:space="preserve">ali kraju:                     </w:t>
            </w:r>
            <w:r>
              <w:rPr>
                <w:b/>
                <w:sz w:val="22"/>
                <w:szCs w:val="22"/>
              </w:rPr>
              <w:t>7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5F6BCF" w:rsidRPr="00570EB9" w:rsidRDefault="005F6BCF" w:rsidP="00E30C49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operacja promuje obszar L</w:t>
            </w:r>
            <w:r>
              <w:rPr>
                <w:sz w:val="22"/>
                <w:szCs w:val="22"/>
              </w:rPr>
              <w:t xml:space="preserve">SROR w skali województwa:    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5F6BCF" w:rsidRPr="00570EB9" w:rsidRDefault="005F6BCF" w:rsidP="00E30C49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promuje obszar LSROR w </w:t>
            </w:r>
            <w:r>
              <w:rPr>
                <w:sz w:val="22"/>
                <w:szCs w:val="22"/>
              </w:rPr>
              <w:t xml:space="preserve">skali lokalnej:               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5F6BCF" w:rsidRPr="00570EB9" w:rsidRDefault="005F6BCF" w:rsidP="00E30C49">
            <w:pPr>
              <w:spacing w:line="276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brak wpływu na promocję obszaru: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0A56A4">
              <w:rPr>
                <w:b/>
                <w:sz w:val="22"/>
                <w:szCs w:val="22"/>
              </w:rPr>
              <w:t xml:space="preserve"> 0 pkt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1218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Realizacja operacji spowoduje utworzenie miejsc pracy,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w przeliczeniu na pełne etaty średnioroczne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0EB9">
              <w:rPr>
                <w:b/>
                <w:bCs/>
                <w:sz w:val="22"/>
                <w:szCs w:val="22"/>
              </w:rPr>
              <w:t>(0 – 10 pkt)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więcej niż 3 miejsc pracy:                                                  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od 2 do 3 miejsc pracy: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0EB9">
              <w:rPr>
                <w:sz w:val="22"/>
                <w:szCs w:val="22"/>
              </w:rPr>
              <w:t xml:space="preserve">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- 1 miejsca pracy:               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0EB9">
              <w:rPr>
                <w:sz w:val="22"/>
                <w:szCs w:val="22"/>
              </w:rPr>
              <w:t xml:space="preserve">    </w:t>
            </w:r>
            <w:r w:rsidRPr="000A56A4">
              <w:rPr>
                <w:b/>
                <w:sz w:val="22"/>
                <w:szCs w:val="22"/>
              </w:rPr>
              <w:t>2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nie tworzy miejsca pracy: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0EB9">
              <w:rPr>
                <w:sz w:val="22"/>
                <w:szCs w:val="22"/>
              </w:rPr>
              <w:t xml:space="preserve">    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709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  <w:shd w:val="clear" w:color="auto" w:fill="FFFFFF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 w:rsidRPr="00CD1D06">
              <w:rPr>
                <w:shd w:val="clear" w:color="auto" w:fill="FFFFFF"/>
              </w:rPr>
              <w:t>TAK</w:t>
            </w:r>
          </w:p>
        </w:tc>
        <w:tc>
          <w:tcPr>
            <w:tcW w:w="708" w:type="dxa"/>
            <w:shd w:val="clear" w:color="auto" w:fill="B2A1C7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Operacja ma innowacyjny charakter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0EB9">
              <w:rPr>
                <w:b/>
                <w:sz w:val="22"/>
                <w:szCs w:val="22"/>
              </w:rPr>
              <w:t>(0 – 10 pkt)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rozwiązanie jest nowe na obszarze LGR: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A56A4">
              <w:rPr>
                <w:b/>
                <w:sz w:val="22"/>
                <w:szCs w:val="22"/>
              </w:rPr>
              <w:t>10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rozwiązanie jest nowe na obszarze gminy: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70EB9"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7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rozwiązanie jest nowe na obsza</w:t>
            </w:r>
            <w:r>
              <w:rPr>
                <w:sz w:val="22"/>
                <w:szCs w:val="22"/>
              </w:rPr>
              <w:t xml:space="preserve">rze miejscowości :             </w:t>
            </w:r>
            <w:r w:rsidRPr="00570EB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rozwiązanie nie posiada cech nowości: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570EB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0A56A4">
              <w:rPr>
                <w:b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tabs>
                <w:tab w:val="center" w:pos="297"/>
              </w:tabs>
              <w:spacing w:line="360" w:lineRule="auto"/>
            </w:pPr>
            <w:r>
              <w:tab/>
              <w:t>10.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Działalność, której dotyczy operacja, jest oparta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o wykorzystanie lokalnych zasobów i/lub lokalnego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dziedzictwa kulturowego, historycznego lub przyrodniczego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 xml:space="preserve">(0 –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70EB9">
              <w:rPr>
                <w:b/>
                <w:bCs/>
                <w:sz w:val="22"/>
                <w:szCs w:val="22"/>
              </w:rPr>
              <w:t xml:space="preserve"> pkt)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wykorzystuje i lokalne zasoby i dziedzictwo: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3</w:t>
            </w:r>
            <w:r w:rsidRPr="000A56A4">
              <w:rPr>
                <w:b/>
                <w:sz w:val="22"/>
                <w:szCs w:val="22"/>
              </w:rPr>
              <w:t xml:space="preserve">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wykorzystuje lokalne zasoby: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0A56A4">
              <w:rPr>
                <w:b/>
                <w:sz w:val="22"/>
                <w:szCs w:val="22"/>
              </w:rPr>
              <w:t xml:space="preserve">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>- wykorzystuje dziedzictwo kulturowe, historyczne lub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   przyrodnicze:                                                                          </w:t>
            </w:r>
            <w:r w:rsidRPr="000A56A4">
              <w:rPr>
                <w:b/>
                <w:sz w:val="22"/>
                <w:szCs w:val="22"/>
              </w:rPr>
              <w:t>5 pkt</w:t>
            </w:r>
          </w:p>
          <w:p w:rsidR="005F6BCF" w:rsidRPr="00570EB9" w:rsidRDefault="005F6BCF" w:rsidP="00E30C49">
            <w:pPr>
              <w:spacing w:line="360" w:lineRule="auto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 nie wykorzystuje lokalnego potencjału:                                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0A56A4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</w:p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/>
                <w:bCs/>
                <w:sz w:val="22"/>
                <w:szCs w:val="22"/>
              </w:rPr>
              <w:t>Stopień zgodności operacji z celami LSROR</w:t>
            </w:r>
            <w:r>
              <w:rPr>
                <w:b/>
                <w:bCs/>
                <w:sz w:val="22"/>
                <w:szCs w:val="22"/>
              </w:rPr>
              <w:t>(1 – 10 pkt)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realizuje jeden cel szczegółowy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A56A4">
              <w:rPr>
                <w:b/>
                <w:sz w:val="22"/>
                <w:szCs w:val="22"/>
              </w:rPr>
              <w:t>1 pkt</w:t>
            </w:r>
            <w:r w:rsidRPr="00570EB9"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5F6BCF" w:rsidRPr="00570EB9" w:rsidRDefault="005F6BCF" w:rsidP="00E30C49">
            <w:pPr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realizuje dwa cele szczegółowe                               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0A56A4">
              <w:rPr>
                <w:b/>
                <w:sz w:val="22"/>
                <w:szCs w:val="22"/>
              </w:rPr>
              <w:t>pkt</w:t>
            </w:r>
          </w:p>
          <w:p w:rsidR="005F6BCF" w:rsidRPr="00570EB9" w:rsidRDefault="005F6BCF" w:rsidP="00E30C49">
            <w:pPr>
              <w:rPr>
                <w:sz w:val="22"/>
                <w:szCs w:val="22"/>
              </w:rPr>
            </w:pPr>
            <w:r w:rsidRPr="00570EB9">
              <w:rPr>
                <w:sz w:val="22"/>
                <w:szCs w:val="22"/>
              </w:rPr>
              <w:t xml:space="preserve">- operacja realizuje trzy lub więcej celów szczegółowych     </w:t>
            </w:r>
            <w:r>
              <w:rPr>
                <w:b/>
                <w:sz w:val="22"/>
                <w:szCs w:val="22"/>
              </w:rPr>
              <w:t>10</w:t>
            </w:r>
            <w:r w:rsidRPr="000A56A4">
              <w:rPr>
                <w:b/>
                <w:sz w:val="22"/>
                <w:szCs w:val="22"/>
              </w:rPr>
              <w:t xml:space="preserve"> pkt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- </w:t>
            </w:r>
            <w:r w:rsidRPr="004E23A2">
              <w:rPr>
                <w:b/>
                <w:bCs/>
                <w:sz w:val="22"/>
                <w:szCs w:val="22"/>
              </w:rPr>
              <w:t>Wnioskodawcą jest podmiot, który spełnia warunki określone w</w:t>
            </w:r>
            <w:r w:rsidRPr="00570EB9">
              <w:rPr>
                <w:bCs/>
                <w:sz w:val="22"/>
                <w:szCs w:val="22"/>
              </w:rPr>
              <w:t xml:space="preserve"> </w:t>
            </w:r>
            <w:r w:rsidRPr="004E23A2">
              <w:rPr>
                <w:b/>
                <w:bCs/>
                <w:sz w:val="22"/>
                <w:szCs w:val="22"/>
              </w:rPr>
              <w:t>§ 2 ust 1 Rozporządzenia Ministra Rolnictwa i Rozwoju Wsi</w:t>
            </w:r>
            <w:r w:rsidRPr="00570EB9">
              <w:rPr>
                <w:bCs/>
                <w:sz w:val="22"/>
                <w:szCs w:val="22"/>
              </w:rPr>
              <w:t xml:space="preserve"> w sprawie szczegółowych warunków, jakim powinni odpowiadać lokalna 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 – 2013         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570EB9">
              <w:rPr>
                <w:bCs/>
                <w:sz w:val="22"/>
                <w:szCs w:val="22"/>
              </w:rPr>
              <w:t xml:space="preserve">   </w:t>
            </w:r>
            <w:r w:rsidRPr="000A56A4">
              <w:rPr>
                <w:b/>
                <w:bCs/>
                <w:sz w:val="22"/>
                <w:szCs w:val="22"/>
              </w:rPr>
              <w:t>5 pkt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t>- Wnioskodawcą nie jest podmiot wyżej wymieniony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0A56A4">
              <w:rPr>
                <w:b/>
                <w:bCs/>
                <w:sz w:val="22"/>
                <w:szCs w:val="22"/>
              </w:rPr>
              <w:t>0 pkt</w:t>
            </w:r>
          </w:p>
        </w:tc>
        <w:tc>
          <w:tcPr>
            <w:tcW w:w="709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  <w:shd w:val="clear" w:color="auto" w:fill="B2A1C7"/>
            <w:vAlign w:val="center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6069" w:type="dxa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Wnioskodawca co najmniej 3 lata przed datą złożenia wniosku miał siedzibę lub miejsce stałego zameldowania lub prowadził działalność na obszarze objętym LSROR  </w:t>
            </w:r>
            <w:r>
              <w:rPr>
                <w:bCs/>
                <w:sz w:val="22"/>
                <w:szCs w:val="22"/>
              </w:rPr>
              <w:t xml:space="preserve">                               </w:t>
            </w:r>
            <w:r w:rsidRPr="000A56A4">
              <w:rPr>
                <w:b/>
                <w:bCs/>
                <w:sz w:val="22"/>
                <w:szCs w:val="22"/>
              </w:rPr>
              <w:t>3 pkt</w:t>
            </w:r>
          </w:p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Wnioskodawca nie spełnia powyższych warunków             0 </w:t>
            </w:r>
            <w:proofErr w:type="spellStart"/>
            <w:r>
              <w:rPr>
                <w:b/>
                <w:bCs/>
                <w:sz w:val="22"/>
                <w:szCs w:val="22"/>
              </w:rPr>
              <w:t>ptk</w:t>
            </w:r>
            <w:proofErr w:type="spellEnd"/>
          </w:p>
        </w:tc>
        <w:tc>
          <w:tcPr>
            <w:tcW w:w="709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708" w:type="dxa"/>
            <w:vAlign w:val="center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6069" w:type="dxa"/>
          </w:tcPr>
          <w:p w:rsidR="005F6BCF" w:rsidRPr="00570EB9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t>Efekty uzyskane w wyniku realizacji operacji (jeśli zachodzi co najmniej jedna z poniższych okoliczności)</w:t>
            </w:r>
            <w:r w:rsidRPr="004E23A2">
              <w:rPr>
                <w:bCs/>
                <w:sz w:val="22"/>
                <w:szCs w:val="22"/>
              </w:rPr>
              <w:t xml:space="preserve">                         </w:t>
            </w:r>
            <w:r w:rsidRPr="004E23A2">
              <w:rPr>
                <w:b/>
                <w:bCs/>
                <w:sz w:val="22"/>
                <w:szCs w:val="22"/>
              </w:rPr>
              <w:t>10 pkt</w:t>
            </w:r>
            <w:r w:rsidRPr="004E23A2">
              <w:rPr>
                <w:bCs/>
                <w:sz w:val="22"/>
                <w:szCs w:val="22"/>
              </w:rPr>
              <w:t xml:space="preserve"> 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70EB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operacja przyczyni się do rozwoju turystyki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operacja przyczyni się do poprawy stanu infrastruktury (drogi, </w:t>
            </w:r>
            <w:r>
              <w:rPr>
                <w:bCs/>
                <w:sz w:val="22"/>
                <w:szCs w:val="22"/>
              </w:rPr>
              <w:br/>
              <w:t xml:space="preserve">  place, parkingi, parki itd.),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aktywizacja mieszkańców i wzmocnienie ich więzi z miejscem  </w:t>
            </w:r>
            <w:r>
              <w:rPr>
                <w:bCs/>
                <w:sz w:val="22"/>
                <w:szCs w:val="22"/>
              </w:rPr>
              <w:br/>
              <w:t xml:space="preserve">  zamieszkania,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F6BCF" w:rsidRPr="00570EB9" w:rsidRDefault="005F6BCF" w:rsidP="00E30C49">
            <w:pPr>
              <w:tabs>
                <w:tab w:val="left" w:pos="520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23A2">
              <w:rPr>
                <w:b/>
                <w:bCs/>
                <w:sz w:val="22"/>
                <w:szCs w:val="22"/>
              </w:rPr>
              <w:lastRenderedPageBreak/>
              <w:t>- operacja nie uzyska w/w efektów</w:t>
            </w:r>
            <w:r>
              <w:rPr>
                <w:bCs/>
                <w:sz w:val="22"/>
                <w:szCs w:val="22"/>
              </w:rPr>
              <w:tab/>
              <w:t xml:space="preserve">    </w:t>
            </w:r>
            <w:r w:rsidRPr="004E23A2">
              <w:rPr>
                <w:b/>
                <w:bCs/>
                <w:sz w:val="22"/>
                <w:szCs w:val="22"/>
              </w:rPr>
              <w:t>0 pkt</w:t>
            </w:r>
          </w:p>
        </w:tc>
        <w:tc>
          <w:tcPr>
            <w:tcW w:w="709" w:type="dxa"/>
          </w:tcPr>
          <w:p w:rsidR="005F6BCF" w:rsidRDefault="005F6BCF" w:rsidP="00E30C49">
            <w:r>
              <w:lastRenderedPageBreak/>
              <w:t>TAK</w:t>
            </w:r>
          </w:p>
        </w:tc>
        <w:tc>
          <w:tcPr>
            <w:tcW w:w="767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 xml:space="preserve">NIE </w:t>
            </w:r>
          </w:p>
        </w:tc>
        <w:tc>
          <w:tcPr>
            <w:tcW w:w="1218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lastRenderedPageBreak/>
              <w:t>15.</w:t>
            </w:r>
          </w:p>
        </w:tc>
        <w:tc>
          <w:tcPr>
            <w:tcW w:w="6069" w:type="dxa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ma pozytywny wpływ na warunki funkcjonowania sektora rybactwa na obszarze objętym LSROR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0EB9">
              <w:rPr>
                <w:bCs/>
                <w:sz w:val="22"/>
                <w:szCs w:val="22"/>
              </w:rPr>
              <w:t xml:space="preserve">(jeśli zachodzi co najmniej jedna z poniższych okoliczności) </w:t>
            </w: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4E23A2">
              <w:rPr>
                <w:b/>
                <w:bCs/>
                <w:sz w:val="22"/>
                <w:szCs w:val="22"/>
              </w:rPr>
              <w:t>10 pkt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Pozytywnie wpłynie na: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poprawę warunków prowadzenia połowu, hodowli, chowu ryb  </w:t>
            </w:r>
            <w:r>
              <w:rPr>
                <w:bCs/>
                <w:sz w:val="22"/>
                <w:szCs w:val="22"/>
              </w:rPr>
              <w:br/>
              <w:t xml:space="preserve">  lub uprawiania wędkarstwa,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przetwarzanie produktów sektora rybackiego,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promocję spożycia ryb i polepszeniu warunków sprzedaży ryb,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kultywowanie i promowanie lokalnych tradycji rybackich</w:t>
            </w:r>
          </w:p>
          <w:p w:rsidR="005F6BCF" w:rsidRPr="002B075E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nie wpływa na powyższe: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0 pkt</w:t>
            </w:r>
          </w:p>
        </w:tc>
        <w:tc>
          <w:tcPr>
            <w:tcW w:w="709" w:type="dxa"/>
            <w:shd w:val="clear" w:color="auto" w:fill="B2A1C7"/>
          </w:tcPr>
          <w:p w:rsidR="005F6BCF" w:rsidRDefault="005F6BCF" w:rsidP="00E30C49">
            <w:r>
              <w:t>NIE</w:t>
            </w:r>
          </w:p>
        </w:tc>
        <w:tc>
          <w:tcPr>
            <w:tcW w:w="767" w:type="dxa"/>
            <w:shd w:val="clear" w:color="auto" w:fill="FFFFFF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  <w:tc>
          <w:tcPr>
            <w:tcW w:w="1218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6069" w:type="dxa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 xml:space="preserve">Operacja należy do kategorii operacji preferowanych w ramach LSROR </w:t>
            </w:r>
            <w:r w:rsidRPr="00570EB9">
              <w:rPr>
                <w:bCs/>
                <w:sz w:val="22"/>
                <w:szCs w:val="22"/>
              </w:rPr>
              <w:t xml:space="preserve">(jeśli zachodzi co najmniej jedna z poniższych okoliczności)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</w:t>
            </w:r>
            <w:r w:rsidRPr="002B075E">
              <w:rPr>
                <w:b/>
                <w:bCs/>
                <w:sz w:val="22"/>
                <w:szCs w:val="22"/>
              </w:rPr>
              <w:t>10 pkt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inwestycje melioracyjne związane z: rekultywacją, </w:t>
            </w:r>
            <w:proofErr w:type="spellStart"/>
            <w:r>
              <w:rPr>
                <w:bCs/>
                <w:sz w:val="22"/>
                <w:szCs w:val="22"/>
              </w:rPr>
              <w:t>renaturyzacją</w:t>
            </w:r>
            <w:proofErr w:type="spellEnd"/>
            <w:r>
              <w:rPr>
                <w:bCs/>
                <w:sz w:val="22"/>
                <w:szCs w:val="22"/>
              </w:rPr>
              <w:t>, lub utrzymaniem zbiorników wodnych, ochroną przeciwpowodziową, regulacją możliwości retencyjnych wód poprzez program małej retencji, racjonalnym gospodarowaniem zasobami wodnymi lub ukształtowaniem trasy regulacyjnej linii brzegowej,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zachowanie różnorodności biologicznej i chronionych gatunków ryb lub innych organizmów wodnych,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zachowanie i zabezpieczenie obszarów objętych szczególnymi formami ochrony przyrody, w tym NATURA 2000</w:t>
            </w:r>
          </w:p>
          <w:p w:rsidR="005F6BCF" w:rsidRPr="002B075E" w:rsidRDefault="005F6BCF" w:rsidP="00E30C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B075E">
              <w:rPr>
                <w:b/>
                <w:bCs/>
                <w:sz w:val="22"/>
                <w:szCs w:val="22"/>
              </w:rPr>
              <w:t>Operacja nie należy do preferowanych w  LSROR</w:t>
            </w:r>
            <w:r>
              <w:rPr>
                <w:b/>
                <w:bCs/>
                <w:sz w:val="22"/>
                <w:szCs w:val="22"/>
              </w:rPr>
              <w:t xml:space="preserve">             0 pkt</w:t>
            </w:r>
          </w:p>
        </w:tc>
        <w:tc>
          <w:tcPr>
            <w:tcW w:w="709" w:type="dxa"/>
            <w:shd w:val="clear" w:color="auto" w:fill="B2A1C7"/>
          </w:tcPr>
          <w:p w:rsidR="005F6BCF" w:rsidRDefault="005F6BCF" w:rsidP="00E30C49">
            <w:r>
              <w:t>NIE</w:t>
            </w:r>
          </w:p>
        </w:tc>
        <w:tc>
          <w:tcPr>
            <w:tcW w:w="767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1218" w:type="dxa"/>
            <w:shd w:val="clear" w:color="auto" w:fill="B2A1C7"/>
          </w:tcPr>
          <w:p w:rsidR="005F6BCF" w:rsidRDefault="005F6BCF" w:rsidP="00E30C49">
            <w:pPr>
              <w:jc w:val="center"/>
            </w:pPr>
            <w:r>
              <w:t>NIE</w:t>
            </w:r>
          </w:p>
        </w:tc>
        <w:tc>
          <w:tcPr>
            <w:tcW w:w="708" w:type="dxa"/>
            <w:shd w:val="clear" w:color="auto" w:fill="FFFFFF"/>
          </w:tcPr>
          <w:p w:rsidR="005F6BCF" w:rsidRDefault="005F6BCF" w:rsidP="00E30C49">
            <w:pPr>
              <w:jc w:val="center"/>
            </w:pPr>
            <w:r>
              <w:t>TAK</w:t>
            </w: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6069" w:type="dxa"/>
          </w:tcPr>
          <w:p w:rsidR="005F6BCF" w:rsidRDefault="005F6BCF" w:rsidP="00E30C49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 w:val="28"/>
                <w:szCs w:val="28"/>
              </w:rPr>
              <w:t xml:space="preserve">Maksymalna liczba punktów: </w:t>
            </w:r>
          </w:p>
        </w:tc>
        <w:tc>
          <w:tcPr>
            <w:tcW w:w="709" w:type="dxa"/>
          </w:tcPr>
          <w:p w:rsidR="005F6BCF" w:rsidRDefault="005F6BCF" w:rsidP="00E30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67" w:type="dxa"/>
          </w:tcPr>
          <w:p w:rsidR="005F6BCF" w:rsidRDefault="005F6BCF" w:rsidP="00E30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218" w:type="dxa"/>
          </w:tcPr>
          <w:p w:rsidR="005F6BCF" w:rsidRDefault="005F6BCF" w:rsidP="00E30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08" w:type="dxa"/>
          </w:tcPr>
          <w:p w:rsidR="005F6BCF" w:rsidRDefault="005F6BCF" w:rsidP="00E30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</w:tbl>
    <w:p w:rsidR="005F6BCF" w:rsidRDefault="005F6BCF" w:rsidP="005F6BCF">
      <w:pPr>
        <w:pStyle w:val="Nagwek1"/>
        <w:numPr>
          <w:ilvl w:val="0"/>
          <w:numId w:val="0"/>
        </w:numPr>
        <w:ind w:left="431"/>
        <w:rPr>
          <w:rFonts w:ascii="TimesNewRomanPSMT" w:hAnsi="TimesNewRomanPSMT"/>
          <w:b w:val="0"/>
          <w:bCs/>
          <w:sz w:val="24"/>
          <w:szCs w:val="24"/>
        </w:rPr>
      </w:pPr>
      <w:bookmarkStart w:id="0" w:name="_Toc248549187"/>
      <w:bookmarkStart w:id="1" w:name="_Toc248559695"/>
      <w:bookmarkStart w:id="2" w:name="_Toc248561428"/>
    </w:p>
    <w:p w:rsidR="005F6BCF" w:rsidRPr="00730B45" w:rsidRDefault="005F6BCF" w:rsidP="005F6BCF">
      <w:r>
        <w:t xml:space="preserve">*) Nasz grupa, chcąc jeszcze bardziej zaktywizować społeczność lokalną - stawia na podmioty,  </w:t>
      </w:r>
      <w:r>
        <w:br/>
        <w:t xml:space="preserve">    które jeszcze nigdy nie starały się pozyskać środków finansowych z UE.</w:t>
      </w:r>
    </w:p>
    <w:p w:rsidR="005F6BCF" w:rsidRDefault="005F6BCF" w:rsidP="005F6BCF">
      <w:pPr>
        <w:pStyle w:val="Nagwek1"/>
        <w:numPr>
          <w:ilvl w:val="0"/>
          <w:numId w:val="0"/>
        </w:numPr>
        <w:ind w:left="2124"/>
        <w:rPr>
          <w:rFonts w:ascii="TimesNewRomanPSMT" w:hAnsi="TimesNewRomanPSMT"/>
          <w:b w:val="0"/>
          <w:bCs/>
          <w:sz w:val="24"/>
          <w:szCs w:val="24"/>
        </w:rPr>
      </w:pPr>
    </w:p>
    <w:p w:rsidR="005F6BCF" w:rsidRDefault="005F6BCF" w:rsidP="005F6BCF">
      <w:pPr>
        <w:pStyle w:val="Zwyky"/>
      </w:pPr>
    </w:p>
    <w:p w:rsidR="005F6BCF" w:rsidRDefault="005F6BCF" w:rsidP="005F6BCF">
      <w:pPr>
        <w:pStyle w:val="Zwyky"/>
      </w:pPr>
    </w:p>
    <w:p w:rsidR="005F6BCF" w:rsidRDefault="005F6BCF" w:rsidP="005F6BCF">
      <w:pPr>
        <w:pStyle w:val="Zwyky"/>
      </w:pPr>
    </w:p>
    <w:p w:rsidR="005F6BCF" w:rsidRDefault="005F6BCF" w:rsidP="005F6BCF">
      <w:pPr>
        <w:pStyle w:val="Zwyky"/>
      </w:pPr>
    </w:p>
    <w:p w:rsidR="005F6BCF" w:rsidRPr="007A7633" w:rsidRDefault="005F6BCF" w:rsidP="005F6BCF">
      <w:pPr>
        <w:pStyle w:val="Zwyky"/>
      </w:pPr>
      <w:bookmarkStart w:id="3" w:name="_GoBack"/>
      <w:bookmarkEnd w:id="3"/>
    </w:p>
    <w:p w:rsidR="005F6BCF" w:rsidRPr="007A7633" w:rsidRDefault="005F6BCF" w:rsidP="005F6BCF">
      <w:pPr>
        <w:pStyle w:val="Nagwek1"/>
        <w:numPr>
          <w:ilvl w:val="0"/>
          <w:numId w:val="0"/>
        </w:numPr>
        <w:ind w:left="2124"/>
        <w:rPr>
          <w:rFonts w:ascii="TimesNewRomanPSMT" w:hAnsi="TimesNewRomanPSMT"/>
          <w:b w:val="0"/>
          <w:bCs/>
          <w:sz w:val="24"/>
          <w:szCs w:val="24"/>
        </w:rPr>
      </w:pPr>
      <w:bookmarkStart w:id="4" w:name="_Toc257758922"/>
      <w:r w:rsidRPr="00DE6B2F">
        <w:rPr>
          <w:rFonts w:ascii="Times New Roman" w:hAnsi="Times New Roman"/>
          <w:i/>
          <w:sz w:val="24"/>
          <w:szCs w:val="24"/>
        </w:rPr>
        <w:lastRenderedPageBreak/>
        <w:t>Załącznik nr 5 do Procedury naboru oraz oceny i wyboru operacji</w:t>
      </w:r>
      <w:bookmarkEnd w:id="0"/>
      <w:bookmarkEnd w:id="1"/>
      <w:bookmarkEnd w:id="2"/>
      <w:bookmarkEnd w:id="4"/>
    </w:p>
    <w:p w:rsidR="005F6BCF" w:rsidRDefault="005F6BCF" w:rsidP="005F6BCF">
      <w:pPr>
        <w:rPr>
          <w:rFonts w:ascii="ArialMT" w:hAnsi="ArialMT"/>
        </w:rPr>
      </w:pPr>
      <w:r>
        <w:rPr>
          <w:rFonts w:ascii="TimesNewRomanPSMT" w:hAnsi="TimesNewRomanPSMT"/>
        </w:rPr>
        <w:t>(pieczęć)</w:t>
      </w:r>
    </w:p>
    <w:p w:rsidR="005F6BCF" w:rsidRDefault="005F6BCF" w:rsidP="005F6BCF">
      <w:pPr>
        <w:jc w:val="right"/>
        <w:rPr>
          <w:rFonts w:ascii="ArialMT" w:hAnsi="ArialMT"/>
        </w:rPr>
      </w:pPr>
    </w:p>
    <w:p w:rsidR="005F6BCF" w:rsidRDefault="005F6BCF" w:rsidP="005F6BCF">
      <w:pPr>
        <w:jc w:val="right"/>
        <w:rPr>
          <w:rFonts w:ascii="ArialMT" w:hAnsi="ArialMT"/>
        </w:rPr>
      </w:pPr>
    </w:p>
    <w:p w:rsidR="005F6BCF" w:rsidRDefault="005F6BCF" w:rsidP="005F6BCF">
      <w:pPr>
        <w:jc w:val="center"/>
        <w:rPr>
          <w:rFonts w:ascii="ArialMT" w:hAnsi="ArialMT"/>
        </w:rPr>
      </w:pPr>
    </w:p>
    <w:p w:rsidR="005F6BCF" w:rsidRPr="006E4E4A" w:rsidRDefault="005F6BCF" w:rsidP="005F6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4A">
        <w:rPr>
          <w:rFonts w:ascii="Arial" w:hAnsi="Arial" w:cs="Arial"/>
          <w:b/>
          <w:bCs/>
          <w:sz w:val="22"/>
          <w:szCs w:val="22"/>
        </w:rPr>
        <w:t>KARTA OCENY ZGODNOŚCI OPERACJI Z KRYTERIAMI WYBORU OPERACJI</w:t>
      </w:r>
    </w:p>
    <w:p w:rsidR="005F6BCF" w:rsidRPr="006E4E4A" w:rsidRDefault="005F6BCF" w:rsidP="005F6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4A">
        <w:rPr>
          <w:rFonts w:ascii="Arial" w:hAnsi="Arial" w:cs="Arial"/>
          <w:b/>
          <w:bCs/>
          <w:sz w:val="22"/>
          <w:szCs w:val="22"/>
        </w:rPr>
        <w:t>na obszarze „Łużyckiej Lokalnej Grupy Rybackiej”</w:t>
      </w:r>
    </w:p>
    <w:p w:rsidR="005F6BCF" w:rsidRPr="006E4E4A" w:rsidRDefault="005F6BCF" w:rsidP="005F6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4A">
        <w:rPr>
          <w:rFonts w:ascii="Arial" w:hAnsi="Arial" w:cs="Arial"/>
          <w:b/>
          <w:bCs/>
          <w:sz w:val="22"/>
          <w:szCs w:val="22"/>
        </w:rPr>
        <w:t>„Wzmocnienie konkurencyjności i utrzymanie atrakcyjności obszarów zależnych od rybactwa”</w:t>
      </w:r>
    </w:p>
    <w:p w:rsidR="005F6BCF" w:rsidRPr="00671C73" w:rsidRDefault="005F6BCF" w:rsidP="005F6BCF">
      <w:pPr>
        <w:jc w:val="center"/>
        <w:rPr>
          <w:rFonts w:ascii="Arial" w:hAnsi="Arial" w:cs="Arial"/>
          <w:i/>
          <w:iCs/>
        </w:rPr>
      </w:pPr>
      <w:r w:rsidRPr="006E4E4A">
        <w:rPr>
          <w:rFonts w:ascii="Arial" w:hAnsi="Arial" w:cs="Arial"/>
          <w:b/>
          <w:bCs/>
          <w:i/>
          <w:iCs/>
          <w:sz w:val="22"/>
          <w:szCs w:val="22"/>
        </w:rPr>
        <w:t>(wypełnić wyłącznie pola na białym tle</w:t>
      </w:r>
      <w:r w:rsidRPr="00671C73">
        <w:rPr>
          <w:rFonts w:ascii="Arial" w:hAnsi="Arial" w:cs="Arial"/>
          <w:b/>
          <w:bCs/>
          <w:i/>
          <w:iCs/>
        </w:rPr>
        <w:t>)</w:t>
      </w:r>
    </w:p>
    <w:p w:rsidR="005F6BCF" w:rsidRDefault="005F6BCF" w:rsidP="005F6BCF">
      <w:pPr>
        <w:jc w:val="center"/>
        <w:rPr>
          <w:rFonts w:ascii="Arial-ItalicMT" w:hAnsi="Arial-ItalicMT"/>
          <w:i/>
          <w:iCs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995"/>
        <w:gridCol w:w="2505"/>
        <w:gridCol w:w="180"/>
        <w:gridCol w:w="15"/>
        <w:gridCol w:w="1605"/>
      </w:tblGrid>
      <w:tr w:rsidR="005F6BCF" w:rsidTr="00E30C4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Nazwa operacji:</w:t>
            </w:r>
          </w:p>
        </w:tc>
        <w:tc>
          <w:tcPr>
            <w:tcW w:w="6300" w:type="dxa"/>
            <w:gridSpan w:val="5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Nr wniosku wg kolejności</w:t>
            </w:r>
          </w:p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wpływu i data złożenia wniosku:</w:t>
            </w:r>
          </w:p>
          <w:p w:rsidR="005F6BCF" w:rsidRDefault="005F6BCF" w:rsidP="00E30C49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przeprowadzenia oceny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Nazwa wnioskodawcy</w:t>
            </w:r>
          </w:p>
        </w:tc>
        <w:tc>
          <w:tcPr>
            <w:tcW w:w="63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035" w:type="dxa"/>
            <w:gridSpan w:val="5"/>
            <w:tcBorders>
              <w:top w:val="single" w:sz="24" w:space="0" w:color="000000"/>
              <w:left w:val="single" w:sz="24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 xml:space="preserve">Kryteria oceny operacji </w:t>
            </w:r>
          </w:p>
        </w:tc>
        <w:tc>
          <w:tcPr>
            <w:tcW w:w="1605" w:type="dxa"/>
            <w:tcBorders>
              <w:top w:val="single" w:sz="24" w:space="0" w:color="000000"/>
              <w:left w:val="single" w:sz="2" w:space="0" w:color="000000"/>
              <w:righ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ocena</w:t>
            </w: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413E68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Wnioskodawca posiada doświadczenie w realizacji projektów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– 6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413E68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Wnioskodawca jest członkiem „ŁLGR”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lub 5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413E68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Wnioskodawca posiada środki finansowe na wykonanie operacji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– 8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413E68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Deklarowany poziom wkładu własnego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– 10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Zasięg oddziaływania projektu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– 10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Operacja ma innowacyjny charakter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– 10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Działalność, której dotyczy operacja, jest oparta o wykorzystanie lokalnych zasobów i/lub  lokalnego dziedzictwa kulturowego, historycznego lub przyrodniczego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(0 – 5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MT" w:hAnsi="ArialMT"/>
                <w:sz w:val="22"/>
              </w:rPr>
              <w:t>Stopień zgodności operacji z celami LSROR (1 – 10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 xml:space="preserve">Wnioskodawcą jest podmiot, który spełnia warunki określone w </w:t>
            </w:r>
            <w:r>
              <w:rPr>
                <w:rFonts w:ascii="Arial" w:hAnsi="Arial" w:cs="Arial"/>
                <w:sz w:val="22"/>
              </w:rPr>
              <w:t xml:space="preserve">§ </w:t>
            </w:r>
            <w:r>
              <w:rPr>
                <w:rFonts w:ascii="ArialMT" w:hAnsi="ArialMT"/>
                <w:sz w:val="22"/>
              </w:rPr>
              <w:t>2 ust. 1 Ministerstwa Rolnictwa i Rozwoju Wsi …. (0 lub 5pkt)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413E68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Wnioskodawca co najmniej 3 lata przed datą złożenia wniosku miał siedzibę lub miejsce stałego zameldowania lub prowadził działalność na obszarze objętym LSROR (0 lub 3)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413E68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413E68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413E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Efekty uzyskane w wyniku realizacji operacji (0 lub 10)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920" w:type="dxa"/>
            <w:gridSpan w:val="5"/>
            <w:tcBorders>
              <w:left w:val="single" w:sz="24" w:space="0" w:color="000000"/>
              <w:bottom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/>
                <w:b/>
                <w:bCs/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SUMA PUNKTÓW: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center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54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2"/>
              </w:rPr>
            </w:pP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Komisja / członek</w:t>
            </w:r>
            <w:r>
              <w:rPr>
                <w:rFonts w:ascii="Arial-BoldMT" w:hAnsi="Arial-BoldMT"/>
                <w:b/>
                <w:bCs/>
                <w:sz w:val="22"/>
                <w:szCs w:val="18"/>
              </w:rPr>
              <w:t xml:space="preserve">*) </w:t>
            </w:r>
            <w:r>
              <w:rPr>
                <w:rFonts w:ascii="Arial-BoldMT" w:hAnsi="Arial-BoldMT"/>
                <w:b/>
                <w:bCs/>
                <w:sz w:val="22"/>
              </w:rPr>
              <w:t>oceniający: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…………………………………………. ……………………………………….............................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…………………………………………. ……………………………………….............................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…………………………………………. ……………………………………….............................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………………………………………………………………………………………………………..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………………………………………………………………………………………………………..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………………………………………………………………………………………………………..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………………………………………………………………………………………………………..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 podpis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………………………………………………………………………………………………………..</w:t>
            </w:r>
          </w:p>
          <w:p w:rsidR="005F6BCF" w:rsidRPr="00E36000" w:rsidRDefault="005F6BCF" w:rsidP="00E30C49">
            <w:pPr>
              <w:autoSpaceDE w:val="0"/>
              <w:autoSpaceDN w:val="0"/>
              <w:adjustRightInd w:val="0"/>
              <w:rPr>
                <w:rFonts w:ascii="ArialMT" w:hAnsi="ArialMT"/>
                <w:sz w:val="22"/>
              </w:rPr>
            </w:pPr>
            <w:r>
              <w:rPr>
                <w:rFonts w:ascii="ArialMT" w:hAnsi="ArialMT"/>
                <w:sz w:val="22"/>
              </w:rPr>
              <w:t>Imię i nazwisko członka Komitetu                                                              podpis</w:t>
            </w:r>
          </w:p>
        </w:tc>
      </w:tr>
    </w:tbl>
    <w:p w:rsidR="005F6BCF" w:rsidRDefault="005F6BCF" w:rsidP="005F6BCF">
      <w:r>
        <w:rPr>
          <w:rFonts w:ascii="Arial-BoldMT" w:hAnsi="Arial-BoldMT"/>
          <w:b/>
          <w:bCs/>
          <w:sz w:val="18"/>
          <w:szCs w:val="18"/>
        </w:rPr>
        <w:t xml:space="preserve">*) </w:t>
      </w:r>
      <w:r>
        <w:t>- niepotrzebne skreśli</w:t>
      </w:r>
      <w:bookmarkStart w:id="5" w:name="_Toc248549188"/>
      <w:bookmarkStart w:id="6" w:name="_Toc248559696"/>
      <w:bookmarkStart w:id="7" w:name="_Toc248561429"/>
    </w:p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/>
    <w:p w:rsidR="005F6BCF" w:rsidRDefault="005F6BCF" w:rsidP="005F6BCF">
      <w:pPr>
        <w:ind w:left="1416" w:firstLine="708"/>
        <w:rPr>
          <w:b/>
        </w:rPr>
      </w:pPr>
      <w:r>
        <w:rPr>
          <w:b/>
        </w:rPr>
        <w:t xml:space="preserve">        </w:t>
      </w: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Default="005F6BCF" w:rsidP="005F6BCF">
      <w:pPr>
        <w:ind w:left="1416" w:firstLine="708"/>
        <w:rPr>
          <w:b/>
        </w:rPr>
      </w:pPr>
    </w:p>
    <w:p w:rsidR="005F6BCF" w:rsidRPr="007A7633" w:rsidRDefault="005F6BCF" w:rsidP="005F6BCF">
      <w:pPr>
        <w:ind w:left="1416" w:firstLine="708"/>
        <w:rPr>
          <w:b/>
          <w:sz w:val="24"/>
          <w:szCs w:val="24"/>
        </w:rPr>
      </w:pPr>
      <w:r w:rsidRPr="007A7633">
        <w:rPr>
          <w:b/>
          <w:sz w:val="24"/>
          <w:szCs w:val="24"/>
        </w:rPr>
        <w:lastRenderedPageBreak/>
        <w:t xml:space="preserve"> </w:t>
      </w:r>
      <w:r w:rsidRPr="007A7633">
        <w:rPr>
          <w:b/>
          <w:i/>
          <w:sz w:val="24"/>
          <w:szCs w:val="24"/>
        </w:rPr>
        <w:t>Załącznik nr 6 do Procedury naboru oraz oceny i wyboru operacji</w:t>
      </w:r>
      <w:bookmarkEnd w:id="5"/>
      <w:bookmarkEnd w:id="6"/>
      <w:bookmarkEnd w:id="7"/>
    </w:p>
    <w:p w:rsidR="005F6BCF" w:rsidRDefault="005F6BCF" w:rsidP="005F6BCF">
      <w:pPr>
        <w:rPr>
          <w:rFonts w:ascii="ArialMT" w:hAnsi="ArialMT"/>
        </w:rPr>
      </w:pPr>
      <w:r>
        <w:rPr>
          <w:rFonts w:ascii="ArialMT" w:hAnsi="ArialMT"/>
        </w:rPr>
        <w:t>(pieczęć)</w:t>
      </w:r>
    </w:p>
    <w:p w:rsidR="005F6BCF" w:rsidRDefault="005F6BCF" w:rsidP="005F6BCF">
      <w:pPr>
        <w:jc w:val="right"/>
        <w:rPr>
          <w:rFonts w:ascii="ArialMT" w:hAnsi="ArialMT"/>
        </w:rPr>
      </w:pPr>
    </w:p>
    <w:p w:rsidR="005F6BCF" w:rsidRDefault="005F6BCF" w:rsidP="005F6BCF">
      <w:pPr>
        <w:rPr>
          <w:rFonts w:ascii="ArialMT" w:hAnsi="ArialMT"/>
          <w:sz w:val="28"/>
        </w:rPr>
      </w:pPr>
    </w:p>
    <w:p w:rsidR="005F6BCF" w:rsidRPr="006E4E4A" w:rsidRDefault="005F6BCF" w:rsidP="005F6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4A">
        <w:rPr>
          <w:rFonts w:ascii="Arial" w:hAnsi="Arial" w:cs="Arial"/>
          <w:b/>
          <w:bCs/>
          <w:sz w:val="22"/>
          <w:szCs w:val="22"/>
        </w:rPr>
        <w:t>KARTA OCENY ZGODNOŚCI OPERACJI Z KRYTERIAMI WYBORU OPERACJI</w:t>
      </w:r>
    </w:p>
    <w:p w:rsidR="005F6BCF" w:rsidRPr="006E4E4A" w:rsidRDefault="005F6BCF" w:rsidP="005F6B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E4E4A">
        <w:rPr>
          <w:rFonts w:ascii="Arial" w:hAnsi="Arial" w:cs="Arial"/>
          <w:sz w:val="22"/>
          <w:szCs w:val="22"/>
        </w:rPr>
        <w:t>na obszarze „Łużyckiej Lokalnej Grupy Rybackiej”</w:t>
      </w:r>
    </w:p>
    <w:p w:rsidR="005F6BCF" w:rsidRPr="006E4E4A" w:rsidRDefault="005F6BCF" w:rsidP="005F6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4E4A">
        <w:rPr>
          <w:rFonts w:ascii="Arial" w:hAnsi="Arial" w:cs="Arial"/>
          <w:b/>
          <w:bCs/>
          <w:sz w:val="22"/>
          <w:szCs w:val="22"/>
        </w:rPr>
        <w:t>„Restrukturyzacja i reorientacja działalności gospodarczej oraz dywersyfikacja zatrudnienia osób mających pracę związaną z sektorem rybactwa, w drodze tworzenia dodatkowych miejsc pracy poza tym sektorem”</w:t>
      </w:r>
    </w:p>
    <w:p w:rsidR="005F6BCF" w:rsidRPr="006E4E4A" w:rsidRDefault="005F6BCF" w:rsidP="005F6BC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6E4E4A">
        <w:rPr>
          <w:rFonts w:ascii="Arial" w:hAnsi="Arial" w:cs="Arial"/>
          <w:i/>
          <w:iCs/>
          <w:sz w:val="22"/>
          <w:szCs w:val="22"/>
        </w:rPr>
        <w:t>(wypełnić wyłącznie pola na białym tle)</w:t>
      </w:r>
    </w:p>
    <w:tbl>
      <w:tblPr>
        <w:tblpPr w:leftFromText="141" w:rightFromText="141" w:vertAnchor="text" w:horzAnchor="margin" w:tblpY="6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995"/>
        <w:gridCol w:w="2505"/>
        <w:gridCol w:w="180"/>
        <w:gridCol w:w="15"/>
        <w:gridCol w:w="1605"/>
      </w:tblGrid>
      <w:tr w:rsidR="005F6BCF" w:rsidTr="00E30C4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both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Nazwa operacji:</w:t>
            </w:r>
          </w:p>
        </w:tc>
        <w:tc>
          <w:tcPr>
            <w:tcW w:w="6300" w:type="dxa"/>
            <w:gridSpan w:val="5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sz w:val="22"/>
              </w:rPr>
            </w:pPr>
          </w:p>
          <w:p w:rsidR="005F6BCF" w:rsidRDefault="005F6BCF" w:rsidP="00E30C49">
            <w:pPr>
              <w:jc w:val="both"/>
              <w:rPr>
                <w:sz w:val="22"/>
              </w:rPr>
            </w:pP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-BoldMT" w:hAnsi="Arial-BoldMT"/>
                <w:b/>
                <w:bCs/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Nr wniosku wg kolejności</w:t>
            </w:r>
          </w:p>
          <w:p w:rsidR="005F6BCF" w:rsidRDefault="005F6BCF" w:rsidP="00E30C49">
            <w:pPr>
              <w:jc w:val="both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wpływu i data złożenia wniosku:</w:t>
            </w:r>
          </w:p>
          <w:p w:rsidR="005F6BCF" w:rsidRDefault="005F6BCF" w:rsidP="00E30C49">
            <w:pPr>
              <w:jc w:val="both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CF" w:rsidRDefault="005F6BCF" w:rsidP="00E30C49">
            <w:pPr>
              <w:jc w:val="both"/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przeprowadzenia oceny</w:t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sz w:val="22"/>
              </w:rPr>
            </w:pPr>
          </w:p>
        </w:tc>
      </w:tr>
      <w:tr w:rsidR="005F6BCF" w:rsidTr="00E30C4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both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Nazwa wnioskodawcy</w:t>
            </w:r>
          </w:p>
        </w:tc>
        <w:tc>
          <w:tcPr>
            <w:tcW w:w="63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sz w:val="22"/>
              </w:rPr>
            </w:pPr>
          </w:p>
          <w:p w:rsidR="005F6BCF" w:rsidRDefault="005F6BCF" w:rsidP="00E30C49">
            <w:pPr>
              <w:jc w:val="both"/>
              <w:rPr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7035" w:type="dxa"/>
            <w:gridSpan w:val="5"/>
            <w:tcBorders>
              <w:top w:val="single" w:sz="24" w:space="0" w:color="000000"/>
              <w:left w:val="single" w:sz="24" w:space="0" w:color="000000"/>
              <w:right w:val="single" w:sz="2" w:space="0" w:color="000000"/>
            </w:tcBorders>
            <w:shd w:val="clear" w:color="auto" w:fill="C0C0C0"/>
          </w:tcPr>
          <w:p w:rsidR="005F6BCF" w:rsidRDefault="005F6BCF" w:rsidP="00E30C49">
            <w:pPr>
              <w:jc w:val="center"/>
              <w:rPr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Kryteria oceny operacji</w:t>
            </w:r>
          </w:p>
        </w:tc>
        <w:tc>
          <w:tcPr>
            <w:tcW w:w="1605" w:type="dxa"/>
            <w:tcBorders>
              <w:top w:val="single" w:sz="24" w:space="0" w:color="000000"/>
              <w:left w:val="single" w:sz="2" w:space="0" w:color="000000"/>
              <w:right w:val="single" w:sz="24" w:space="0" w:color="000000"/>
            </w:tcBorders>
            <w:shd w:val="clear" w:color="auto" w:fill="C0C0C0"/>
          </w:tcPr>
          <w:p w:rsidR="005F6BCF" w:rsidRPr="00822E42" w:rsidRDefault="005F6BCF" w:rsidP="00E30C49">
            <w:pPr>
              <w:jc w:val="both"/>
              <w:rPr>
                <w:sz w:val="22"/>
              </w:rPr>
            </w:pPr>
            <w:r w:rsidRPr="00822E42">
              <w:rPr>
                <w:sz w:val="22"/>
              </w:rPr>
              <w:t>Ocena</w:t>
            </w: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89000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  <w:bottom w:val="single" w:sz="4" w:space="0" w:color="auto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 xml:space="preserve">Wnioskodawca posiada doświadczenie w realizacji projektów 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(0 - 6 pkt)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89000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Wnioskodawca jest członkiem „ŁLGR”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(0 lub 5 pkt)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89000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Wnioskodawca posiada środki finansowe na wykonanie operacji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(0 – 8 pkt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89000F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Deklarowany poziom wkładu własnego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(0 – 10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Realizacja operacji spowoduje utworzenie miejsc pracy, w przeliczeniu na pełne etaty średnioroczne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(0 – 10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left w:val="single" w:sz="24" w:space="0" w:color="000000"/>
              <w:bottom w:val="single" w:sz="4" w:space="0" w:color="auto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Operacja ma innowacyjny charakter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(0 – 10 pkt)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  <w:bottom w:val="single" w:sz="4" w:space="0" w:color="auto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Działalność, której dotyczy operacja, jest oparta o wykorzystanie lokalnych zasobów i/lub lokalnego dziedzictwa kulturowego, historycznego lub przyrodniczego</w:t>
            </w:r>
          </w:p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 xml:space="preserve">(0 –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1719BB">
              <w:rPr>
                <w:rFonts w:ascii="Arial" w:hAnsi="Arial" w:cs="Arial"/>
                <w:sz w:val="21"/>
                <w:szCs w:val="21"/>
              </w:rPr>
              <w:t xml:space="preserve">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 xml:space="preserve">Stopień zgodności operacji z celami LSROR (1 –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1719BB">
              <w:rPr>
                <w:rFonts w:ascii="Arial" w:hAnsi="Arial" w:cs="Arial"/>
                <w:sz w:val="21"/>
                <w:szCs w:val="21"/>
              </w:rPr>
              <w:t xml:space="preserve">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Wnioskodawcą jest podmiot, który spełnia warunki określone w § 2 ust 1 Rozporządzenia Ministra Rolnictwa i Rozwoju Wsi (0 lub 5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89000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>Wnioskodawca co najmniej 3 lata przed datą złożenia wniosku miał siedzibę lub miejsce stałego zameldowania lub prowadził działalność na obszarze objętym LSROR (0 lub 3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00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:rsidR="005F6BCF" w:rsidRPr="0089000F" w:rsidRDefault="005F6BCF" w:rsidP="00E30C49">
            <w:pPr>
              <w:jc w:val="center"/>
              <w:rPr>
                <w:rFonts w:ascii="Arial" w:hAnsi="Arial" w:cs="Arial"/>
                <w:sz w:val="22"/>
              </w:rPr>
            </w:pPr>
            <w:r w:rsidRPr="0089000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89000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24" w:space="0" w:color="000000"/>
            </w:tcBorders>
            <w:shd w:val="clear" w:color="auto" w:fill="C0C0C0"/>
          </w:tcPr>
          <w:p w:rsidR="005F6BCF" w:rsidRPr="001719BB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19BB">
              <w:rPr>
                <w:rFonts w:ascii="Arial" w:hAnsi="Arial" w:cs="Arial"/>
                <w:sz w:val="21"/>
                <w:szCs w:val="21"/>
              </w:rPr>
              <w:t xml:space="preserve">Operacja ma pozytywny wpływ na warunki funkcjonowania sektora rybactwa na obszarze objętym LSROR (0 lub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1719BB">
              <w:rPr>
                <w:rFonts w:ascii="Arial" w:hAnsi="Arial" w:cs="Arial"/>
                <w:sz w:val="21"/>
                <w:szCs w:val="21"/>
              </w:rPr>
              <w:t xml:space="preserve"> pkt)</w:t>
            </w:r>
          </w:p>
        </w:tc>
        <w:tc>
          <w:tcPr>
            <w:tcW w:w="1620" w:type="dxa"/>
            <w:gridSpan w:val="2"/>
            <w:tcBorders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  <w:tr w:rsidR="005F6BCF" w:rsidTr="00E30C4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920" w:type="dxa"/>
            <w:gridSpan w:val="5"/>
            <w:tcBorders>
              <w:left w:val="single" w:sz="24" w:space="0" w:color="000000"/>
              <w:bottom w:val="single" w:sz="24" w:space="0" w:color="000000"/>
            </w:tcBorders>
            <w:shd w:val="clear" w:color="auto" w:fill="C0C0C0"/>
          </w:tcPr>
          <w:p w:rsidR="005F6BCF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-BoldMT" w:hAnsi="Arial-BoldMT"/>
                <w:b/>
                <w:bCs/>
                <w:sz w:val="22"/>
              </w:rPr>
            </w:pPr>
            <w:r>
              <w:rPr>
                <w:rFonts w:ascii="Arial-BoldMT" w:hAnsi="Arial-BoldMT"/>
                <w:b/>
                <w:bCs/>
                <w:sz w:val="22"/>
              </w:rPr>
              <w:t>SUMA PUNKTÓW:</w:t>
            </w:r>
          </w:p>
          <w:p w:rsidR="005F6BCF" w:rsidRDefault="005F6BCF" w:rsidP="00E30C49">
            <w:pPr>
              <w:autoSpaceDE w:val="0"/>
              <w:autoSpaceDN w:val="0"/>
              <w:adjustRightInd w:val="0"/>
              <w:jc w:val="both"/>
              <w:rPr>
                <w:rFonts w:ascii="ArialMT" w:hAnsi="ArialMT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5F6BCF" w:rsidRDefault="005F6BCF" w:rsidP="00E30C49">
            <w:pPr>
              <w:jc w:val="both"/>
              <w:rPr>
                <w:color w:val="FF0000"/>
                <w:sz w:val="22"/>
              </w:rPr>
            </w:pPr>
          </w:p>
        </w:tc>
      </w:tr>
    </w:tbl>
    <w:p w:rsidR="00675BAD" w:rsidRDefault="00675BAD"/>
    <w:sectPr w:rsidR="0067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43F"/>
    <w:multiLevelType w:val="multilevel"/>
    <w:tmpl w:val="4D8095D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F"/>
    <w:rsid w:val="005F6BCF"/>
    <w:rsid w:val="006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Zwyky"/>
    <w:link w:val="Nagwek1Znak"/>
    <w:qFormat/>
    <w:rsid w:val="005F6BCF"/>
    <w:pPr>
      <w:keepNext/>
      <w:numPr>
        <w:numId w:val="1"/>
      </w:numPr>
      <w:spacing w:after="360" w:line="360" w:lineRule="auto"/>
      <w:ind w:left="431" w:hanging="431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Zwyky"/>
    <w:link w:val="Nagwek2Znak"/>
    <w:qFormat/>
    <w:rsid w:val="005F6BCF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Zwyky"/>
    <w:link w:val="Nagwek3Znak"/>
    <w:uiPriority w:val="9"/>
    <w:qFormat/>
    <w:rsid w:val="005F6BCF"/>
    <w:pPr>
      <w:keepNext/>
      <w:numPr>
        <w:ilvl w:val="2"/>
        <w:numId w:val="1"/>
      </w:numPr>
      <w:spacing w:before="240" w:after="240"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Zwyky"/>
    <w:link w:val="Nagwek4Znak"/>
    <w:uiPriority w:val="9"/>
    <w:qFormat/>
    <w:rsid w:val="005F6BCF"/>
    <w:pPr>
      <w:keepNext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BC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F6BC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F6B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F6BC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Zwyky">
    <w:name w:val="Zwykły"/>
    <w:basedOn w:val="Normalny"/>
    <w:link w:val="ZwykyChar"/>
    <w:rsid w:val="005F6BCF"/>
    <w:pPr>
      <w:spacing w:after="120" w:line="360" w:lineRule="auto"/>
      <w:jc w:val="both"/>
    </w:pPr>
    <w:rPr>
      <w:sz w:val="24"/>
    </w:rPr>
  </w:style>
  <w:style w:type="character" w:customStyle="1" w:styleId="ZwykyChar">
    <w:name w:val="Zwykły Char"/>
    <w:basedOn w:val="Domylnaczcionkaakapitu"/>
    <w:link w:val="Zwyky"/>
    <w:rsid w:val="005F6BC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6BCF"/>
    <w:pPr>
      <w:spacing w:before="120" w:after="120" w:line="280" w:lineRule="exact"/>
      <w:jc w:val="both"/>
    </w:pPr>
    <w:rPr>
      <w:color w:val="000000"/>
      <w:spacing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6BCF"/>
    <w:rPr>
      <w:rFonts w:ascii="Times New Roman" w:eastAsia="Times New Roman" w:hAnsi="Times New Roman" w:cs="Times New Roman"/>
      <w:color w:val="000000"/>
      <w:spacing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Zwyky"/>
    <w:link w:val="Nagwek1Znak"/>
    <w:qFormat/>
    <w:rsid w:val="005F6BCF"/>
    <w:pPr>
      <w:keepNext/>
      <w:numPr>
        <w:numId w:val="1"/>
      </w:numPr>
      <w:spacing w:after="360" w:line="360" w:lineRule="auto"/>
      <w:ind w:left="431" w:hanging="431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Zwyky"/>
    <w:link w:val="Nagwek2Znak"/>
    <w:qFormat/>
    <w:rsid w:val="005F6BCF"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Zwyky"/>
    <w:link w:val="Nagwek3Znak"/>
    <w:uiPriority w:val="9"/>
    <w:qFormat/>
    <w:rsid w:val="005F6BCF"/>
    <w:pPr>
      <w:keepNext/>
      <w:numPr>
        <w:ilvl w:val="2"/>
        <w:numId w:val="1"/>
      </w:numPr>
      <w:spacing w:before="240" w:after="240"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Zwyky"/>
    <w:link w:val="Nagwek4Znak"/>
    <w:uiPriority w:val="9"/>
    <w:qFormat/>
    <w:rsid w:val="005F6BCF"/>
    <w:pPr>
      <w:keepNext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BC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F6BC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F6B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F6BCF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Zwyky">
    <w:name w:val="Zwykły"/>
    <w:basedOn w:val="Normalny"/>
    <w:link w:val="ZwykyChar"/>
    <w:rsid w:val="005F6BCF"/>
    <w:pPr>
      <w:spacing w:after="120" w:line="360" w:lineRule="auto"/>
      <w:jc w:val="both"/>
    </w:pPr>
    <w:rPr>
      <w:sz w:val="24"/>
    </w:rPr>
  </w:style>
  <w:style w:type="character" w:customStyle="1" w:styleId="ZwykyChar">
    <w:name w:val="Zwykły Char"/>
    <w:basedOn w:val="Domylnaczcionkaakapitu"/>
    <w:link w:val="Zwyky"/>
    <w:rsid w:val="005F6BC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6BCF"/>
    <w:pPr>
      <w:spacing w:before="120" w:after="120" w:line="280" w:lineRule="exact"/>
      <w:jc w:val="both"/>
    </w:pPr>
    <w:rPr>
      <w:color w:val="000000"/>
      <w:spacing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6BCF"/>
    <w:rPr>
      <w:rFonts w:ascii="Times New Roman" w:eastAsia="Times New Roman" w:hAnsi="Times New Roman" w:cs="Times New Roman"/>
      <w:color w:val="000000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2011-06-08T12:18:00Z</dcterms:created>
  <dcterms:modified xsi:type="dcterms:W3CDTF">2011-06-08T12:19:00Z</dcterms:modified>
</cp:coreProperties>
</file>